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62AB0A80"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2372E7">
        <w:t>17</w:t>
      </w:r>
      <w:r w:rsidRPr="00893890">
        <w:t>.</w:t>
      </w:r>
      <w:r>
        <w:t xml:space="preserve"> </w:t>
      </w:r>
      <w:r w:rsidR="002372E7">
        <w:t>dubna</w:t>
      </w:r>
      <w:r>
        <w:t xml:space="preserve"> </w:t>
      </w:r>
      <w:r w:rsidRPr="00893890">
        <w:t>202</w:t>
      </w:r>
      <w:r>
        <w:t>6</w:t>
      </w:r>
    </w:p>
    <w:p w14:paraId="0D0C958B" w14:textId="77777777" w:rsidR="00312026" w:rsidRDefault="00312026" w:rsidP="002127C7">
      <w:pPr>
        <w:rPr>
          <w:b/>
          <w:bCs/>
          <w:kern w:val="28"/>
          <w:sz w:val="28"/>
          <w:szCs w:val="28"/>
        </w:rPr>
      </w:pPr>
    </w:p>
    <w:p w14:paraId="2391AB0B" w14:textId="77777777" w:rsidR="002372E7" w:rsidRPr="002372E7" w:rsidRDefault="002372E7" w:rsidP="002372E7">
      <w:pPr>
        <w:rPr>
          <w:b/>
          <w:bCs/>
          <w:sz w:val="28"/>
          <w:szCs w:val="28"/>
        </w:rPr>
      </w:pPr>
      <w:proofErr w:type="spellStart"/>
      <w:r w:rsidRPr="002372E7">
        <w:rPr>
          <w:b/>
          <w:bCs/>
          <w:sz w:val="28"/>
          <w:szCs w:val="28"/>
        </w:rPr>
        <w:t>Fidelity</w:t>
      </w:r>
      <w:proofErr w:type="spellEnd"/>
      <w:r w:rsidRPr="002372E7">
        <w:rPr>
          <w:b/>
          <w:bCs/>
          <w:sz w:val="28"/>
          <w:szCs w:val="28"/>
        </w:rPr>
        <w:t xml:space="preserve"> International: Kvalitní výnos při změnách v cyklu</w:t>
      </w:r>
    </w:p>
    <w:p w14:paraId="6F653190" w14:textId="77777777" w:rsidR="002372E7" w:rsidRDefault="002372E7" w:rsidP="002372E7">
      <w:pPr>
        <w:rPr>
          <w:b/>
          <w:bCs/>
        </w:rPr>
      </w:pPr>
      <w:r w:rsidRPr="00F27DEC">
        <w:rPr>
          <w:b/>
          <w:bCs/>
        </w:rPr>
        <w:t>Americké akcie zůstávají důležitou součástí globálních portfolií, avšak makroekonomické a geopolitické otřesy spolu s vysokými riziky koncentrace na úrovni jednotlivých titulů vyžadují selektivnější přístup. V tomto prostředí může strategie zaměřená na kvalitní dividendový výnos investorům nabídnout sofistikovanější přínos, zejména pokud je realizována prostřednictvím ETF.</w:t>
      </w:r>
    </w:p>
    <w:p w14:paraId="2134371B" w14:textId="77777777" w:rsidR="002372E7" w:rsidRDefault="002372E7" w:rsidP="002372E7">
      <w:pPr>
        <w:pStyle w:val="F2-zkladn"/>
      </w:pPr>
    </w:p>
    <w:p w14:paraId="1C56EBEA" w14:textId="77777777" w:rsidR="002372E7" w:rsidRPr="00607863" w:rsidRDefault="002372E7" w:rsidP="002372E7">
      <w:pPr>
        <w:numPr>
          <w:ilvl w:val="0"/>
          <w:numId w:val="53"/>
        </w:numPr>
        <w:spacing w:before="0" w:after="160" w:line="278" w:lineRule="auto"/>
        <w:jc w:val="left"/>
      </w:pPr>
      <w:r w:rsidRPr="00607863">
        <w:t>USA zůstávají klíčovou investiční destinací, avšak valuace v</w:t>
      </w:r>
      <w:r>
        <w:t> </w:t>
      </w:r>
      <w:r w:rsidRPr="00607863">
        <w:t>některých</w:t>
      </w:r>
      <w:r>
        <w:t xml:space="preserve"> oblastech</w:t>
      </w:r>
      <w:r w:rsidRPr="00607863">
        <w:t xml:space="preserve"> trhu začínají být problematické a dostávají se nad očekávané úrovně „férové hodnoty“. </w:t>
      </w:r>
    </w:p>
    <w:p w14:paraId="4DA53AC9" w14:textId="77777777" w:rsidR="002372E7" w:rsidRPr="00607863" w:rsidRDefault="002372E7" w:rsidP="002372E7">
      <w:pPr>
        <w:numPr>
          <w:ilvl w:val="0"/>
          <w:numId w:val="53"/>
        </w:numPr>
        <w:spacing w:before="0" w:after="160" w:line="278" w:lineRule="auto"/>
        <w:jc w:val="left"/>
      </w:pPr>
      <w:r w:rsidRPr="00607863">
        <w:t xml:space="preserve">Vysoké valuace dále zvyšují rizika koncentrace jednotlivých akcií, a proto se zpochybňují tradiční diverzifikační výhody kapitalizačně vážených expozic. </w:t>
      </w:r>
    </w:p>
    <w:p w14:paraId="56CD157F" w14:textId="77777777" w:rsidR="002372E7" w:rsidRPr="00607863" w:rsidRDefault="002372E7" w:rsidP="002372E7">
      <w:pPr>
        <w:numPr>
          <w:ilvl w:val="0"/>
          <w:numId w:val="53"/>
        </w:numPr>
        <w:spacing w:before="0" w:after="160" w:line="278" w:lineRule="auto"/>
        <w:jc w:val="left"/>
      </w:pPr>
      <w:r w:rsidRPr="00607863">
        <w:t xml:space="preserve">Rámec zaměřený na kvalitní dividendový výnos může investorům pomoci tato rizika lépe zohlednit a přinést další vrstvu stability. </w:t>
      </w:r>
    </w:p>
    <w:p w14:paraId="7B35C1E8" w14:textId="77777777" w:rsidR="002372E7" w:rsidRDefault="002372E7">
      <w:pPr>
        <w:spacing w:before="0" w:line="240" w:lineRule="auto"/>
        <w:jc w:val="left"/>
      </w:pPr>
    </w:p>
    <w:p w14:paraId="585CD651" w14:textId="3CB95ADD" w:rsidR="002372E7" w:rsidRPr="00607863" w:rsidRDefault="002372E7" w:rsidP="002372E7">
      <w:r w:rsidRPr="00607863">
        <w:t xml:space="preserve">USA zůstávají z fundamentálního pohledu atraktivní investiční destinací, s řadou strukturálních faktorů a klíčových ekonomických výhod oproti ostatním regionům světa. Zásadní je také to, že zde sídlí mnoho nejhodnotnějších společností na světě. V posledních měsících a letech se však objevila řada protivětrů v podobě </w:t>
      </w:r>
      <w:proofErr w:type="spellStart"/>
      <w:r w:rsidRPr="00607863">
        <w:t>geoekonomické</w:t>
      </w:r>
      <w:proofErr w:type="spellEnd"/>
      <w:r w:rsidRPr="00607863">
        <w:t xml:space="preserve"> fragmentace, geopolitických konfliktů, oslabování amerického dolaru a přísnější měnové politiky. Tyto faktory znamenají, že investoři možná budou muset svůj přístup k americkým akciím přehodnotit.</w:t>
      </w:r>
    </w:p>
    <w:p w14:paraId="7C96D722" w14:textId="5DFADF84" w:rsidR="002372E7" w:rsidRPr="00607863" w:rsidRDefault="002372E7" w:rsidP="002372E7">
      <w:pPr>
        <w:rPr>
          <w:b/>
          <w:bCs/>
        </w:rPr>
      </w:pPr>
      <w:r w:rsidRPr="00607863">
        <w:rPr>
          <w:b/>
          <w:bCs/>
        </w:rPr>
        <w:t>Narušen</w:t>
      </w:r>
      <w:r>
        <w:rPr>
          <w:b/>
          <w:bCs/>
        </w:rPr>
        <w:t>í</w:t>
      </w:r>
      <w:r w:rsidRPr="00607863">
        <w:rPr>
          <w:b/>
          <w:bCs/>
        </w:rPr>
        <w:t xml:space="preserve"> vytváří nejistotu</w:t>
      </w:r>
    </w:p>
    <w:p w14:paraId="41C84144" w14:textId="275762E7" w:rsidR="002372E7" w:rsidRDefault="002372E7" w:rsidP="002372E7">
      <w:r w:rsidRPr="00607863">
        <w:t xml:space="preserve">Americké akcie vstupují do volatilnější a nejistější fáze, k níž výrazně přispívá zpomalující domácí růst i globální tržní faktory. Vyšší ceny energií v důsledku konfliktu v Íránu vytvářejí inflační tlaky na domácí průmysl, zatímco zvýšená </w:t>
      </w:r>
      <w:r>
        <w:t>rizika různých extrémních událostí</w:t>
      </w:r>
      <w:r w:rsidRPr="00607863">
        <w:t xml:space="preserve"> nahrazují </w:t>
      </w:r>
      <w:proofErr w:type="spellStart"/>
      <w:r w:rsidRPr="00607863">
        <w:t>nízkovolatilní</w:t>
      </w:r>
      <w:proofErr w:type="spellEnd"/>
      <w:r w:rsidRPr="00607863">
        <w:t xml:space="preserve"> a likviditou poháněný režim poslední dekády.</w:t>
      </w:r>
    </w:p>
    <w:p w14:paraId="35C54293" w14:textId="77777777" w:rsidR="00A04F66" w:rsidRDefault="00A04F66" w:rsidP="00A04F66">
      <w:pPr>
        <w:pStyle w:val="F2-zkladn"/>
      </w:pPr>
    </w:p>
    <w:p w14:paraId="38D74CD2" w14:textId="77777777" w:rsidR="00A04F66" w:rsidRDefault="00A04F66" w:rsidP="00A04F66">
      <w:pPr>
        <w:pStyle w:val="F2-zkladn"/>
      </w:pPr>
    </w:p>
    <w:p w14:paraId="560B3ED5" w14:textId="77777777" w:rsidR="00A04F66" w:rsidRDefault="00A04F66" w:rsidP="00A04F66">
      <w:pPr>
        <w:pStyle w:val="F2-zkladn"/>
      </w:pPr>
    </w:p>
    <w:p w14:paraId="3ED42222" w14:textId="77777777" w:rsidR="00A04F66" w:rsidRDefault="00A04F66" w:rsidP="00A04F66">
      <w:pPr>
        <w:pStyle w:val="F2-zkladn"/>
      </w:pPr>
    </w:p>
    <w:p w14:paraId="6BEE314C" w14:textId="77777777" w:rsidR="00A04F66" w:rsidRDefault="00A04F66" w:rsidP="00A04F66">
      <w:pPr>
        <w:pStyle w:val="F2-zkladn"/>
      </w:pPr>
    </w:p>
    <w:p w14:paraId="3484A002" w14:textId="77777777" w:rsidR="00A04F66" w:rsidRPr="00A04F66" w:rsidRDefault="00A04F66" w:rsidP="00A04F66">
      <w:pPr>
        <w:pStyle w:val="F2-zkladn"/>
      </w:pPr>
    </w:p>
    <w:p w14:paraId="5B624F19" w14:textId="5688EBFD" w:rsidR="002372E7" w:rsidRDefault="002372E7" w:rsidP="002372E7">
      <w:pPr>
        <w:rPr>
          <w:b/>
          <w:bCs/>
        </w:rPr>
      </w:pPr>
      <w:r w:rsidRPr="00607863">
        <w:rPr>
          <w:b/>
          <w:bCs/>
        </w:rPr>
        <w:lastRenderedPageBreak/>
        <w:t>Americký trh se rozšiřuje</w:t>
      </w:r>
    </w:p>
    <w:p w14:paraId="75C9FDC3" w14:textId="7C5DA683" w:rsidR="002372E7" w:rsidRPr="002372E7" w:rsidRDefault="002372E7" w:rsidP="002372E7">
      <w:pPr>
        <w:pStyle w:val="F2-zkladn"/>
      </w:pPr>
      <w:r>
        <w:rPr>
          <w:noProof/>
        </w:rPr>
        <w:drawing>
          <wp:anchor distT="0" distB="0" distL="114300" distR="114300" simplePos="0" relativeHeight="251658240" behindDoc="1" locked="0" layoutInCell="1" allowOverlap="1" wp14:anchorId="49D01331" wp14:editId="244AF2D8">
            <wp:simplePos x="0" y="0"/>
            <wp:positionH relativeFrom="column">
              <wp:posOffset>-85090</wp:posOffset>
            </wp:positionH>
            <wp:positionV relativeFrom="paragraph">
              <wp:posOffset>358140</wp:posOffset>
            </wp:positionV>
            <wp:extent cx="5759450" cy="3017520"/>
            <wp:effectExtent l="0" t="0" r="0" b="0"/>
            <wp:wrapTight wrapText="bothSides">
              <wp:wrapPolygon edited="0">
                <wp:start x="0" y="0"/>
                <wp:lineTo x="0" y="21409"/>
                <wp:lineTo x="21505" y="21409"/>
                <wp:lineTo x="21505" y="0"/>
                <wp:lineTo x="0" y="0"/>
              </wp:wrapPolygon>
            </wp:wrapTight>
            <wp:docPr id="6811612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61234" name="Obrázek 681161234"/>
                    <pic:cNvPicPr/>
                  </pic:nvPicPr>
                  <pic:blipFill>
                    <a:blip r:embed="rId11">
                      <a:extLst>
                        <a:ext uri="{28A0092B-C50C-407E-A947-70E740481C1C}">
                          <a14:useLocalDpi xmlns:a14="http://schemas.microsoft.com/office/drawing/2010/main" val="0"/>
                        </a:ext>
                      </a:extLst>
                    </a:blip>
                    <a:stretch>
                      <a:fillRect/>
                    </a:stretch>
                  </pic:blipFill>
                  <pic:spPr>
                    <a:xfrm>
                      <a:off x="0" y="0"/>
                      <a:ext cx="5759450" cy="3017520"/>
                    </a:xfrm>
                    <a:prstGeom prst="rect">
                      <a:avLst/>
                    </a:prstGeom>
                  </pic:spPr>
                </pic:pic>
              </a:graphicData>
            </a:graphic>
          </wp:anchor>
        </w:drawing>
      </w:r>
    </w:p>
    <w:p w14:paraId="65815642" w14:textId="6C184543" w:rsidR="002372E7" w:rsidRPr="00607863" w:rsidRDefault="002372E7" w:rsidP="002372E7">
      <w:r w:rsidRPr="00607863">
        <w:rPr>
          <w:i/>
          <w:iCs/>
        </w:rPr>
        <w:t>Dosavadní výkonnost není spolehlivým ukazatelem budoucích výnosů.</w:t>
      </w:r>
    </w:p>
    <w:p w14:paraId="306F7A15" w14:textId="216F2A64" w:rsidR="002372E7" w:rsidRDefault="002372E7" w:rsidP="002372E7">
      <w:r w:rsidRPr="00607863">
        <w:t xml:space="preserve">Zdroj: </w:t>
      </w:r>
      <w:proofErr w:type="spellStart"/>
      <w:r w:rsidRPr="00607863">
        <w:t>Fidelity</w:t>
      </w:r>
      <w:proofErr w:type="spellEnd"/>
      <w:r w:rsidRPr="00607863">
        <w:t xml:space="preserve"> </w:t>
      </w:r>
      <w:proofErr w:type="spellStart"/>
      <w:r w:rsidRPr="00607863">
        <w:t>Investments</w:t>
      </w:r>
      <w:proofErr w:type="spellEnd"/>
      <w:r w:rsidRPr="00607863">
        <w:t>, k 31. březnu 2026.</w:t>
      </w:r>
    </w:p>
    <w:p w14:paraId="3FAB5331" w14:textId="50CC3E28" w:rsidR="002372E7" w:rsidRPr="00607863" w:rsidRDefault="002372E7" w:rsidP="002372E7">
      <w:r>
        <w:t>Růst těchto r</w:t>
      </w:r>
      <w:r w:rsidRPr="00607863">
        <w:t>izik přichází v době, kdy koncentrace firem na americkém trhu dosahuje extrémně vysokých úrovní. Valuace mega-cap titulů vzrostly v</w:t>
      </w:r>
      <w:r>
        <w:t> </w:t>
      </w:r>
      <w:r w:rsidRPr="00607863">
        <w:t>důsledku</w:t>
      </w:r>
      <w:r>
        <w:t xml:space="preserve"> „</w:t>
      </w:r>
      <w:proofErr w:type="spellStart"/>
      <w:r>
        <w:t>vy</w:t>
      </w:r>
      <w:r w:rsidRPr="00607863">
        <w:t>hyp</w:t>
      </w:r>
      <w:r>
        <w:t>ovaného</w:t>
      </w:r>
      <w:proofErr w:type="spellEnd"/>
      <w:r>
        <w:t xml:space="preserve">“ </w:t>
      </w:r>
      <w:r w:rsidRPr="00607863">
        <w:t xml:space="preserve">cyklu kolem </w:t>
      </w:r>
      <w:proofErr w:type="gramStart"/>
      <w:r w:rsidRPr="00607863">
        <w:t>AI</w:t>
      </w:r>
      <w:proofErr w:type="gramEnd"/>
      <w:r w:rsidRPr="00607863">
        <w:t xml:space="preserve"> a přestože příležitosti existují napříč celým spektrem tržní kapitalizace, tradiční přístup na trh často omezuj</w:t>
      </w:r>
      <w:r>
        <w:t>e</w:t>
      </w:r>
      <w:r w:rsidRPr="00607863">
        <w:t xml:space="preserve"> expozici mimo největší společnosti.</w:t>
      </w:r>
    </w:p>
    <w:p w14:paraId="2AA3574B" w14:textId="5E16CACD" w:rsidR="002372E7" w:rsidRPr="00607863" w:rsidRDefault="002372E7" w:rsidP="002372E7">
      <w:r w:rsidRPr="00607863">
        <w:t>Silná závislost trhu na výkonnosti mega</w:t>
      </w:r>
      <w:r>
        <w:t xml:space="preserve"> kapitalizovaných</w:t>
      </w:r>
      <w:r w:rsidRPr="00607863">
        <w:t xml:space="preserve"> firem a na globalizovaných příjmových tocích</w:t>
      </w:r>
      <w:r>
        <w:t xml:space="preserve"> </w:t>
      </w:r>
      <w:r w:rsidRPr="00607863">
        <w:t>citliv</w:t>
      </w:r>
      <w:r>
        <w:t>ých</w:t>
      </w:r>
      <w:r w:rsidRPr="00607863">
        <w:t xml:space="preserve"> na geopolitickou nejistotu zároveň zvyšuje riziko poklesu. V tomto kontextu očekáváme pokračující turbulence pro investory</w:t>
      </w:r>
      <w:r>
        <w:t xml:space="preserve"> směřující své prostředky</w:t>
      </w:r>
      <w:r w:rsidRPr="00607863">
        <w:t xml:space="preserve"> do amerických akcií napříč </w:t>
      </w:r>
      <w:r>
        <w:t xml:space="preserve">všemi </w:t>
      </w:r>
      <w:r w:rsidRPr="00607863">
        <w:t>sektory</w:t>
      </w:r>
      <w:r>
        <w:t>. Tito i</w:t>
      </w:r>
      <w:r w:rsidRPr="00607863">
        <w:t>nvestoři proto možná budou muset hledat nové cesty, jak na trh vstupovat.</w:t>
      </w:r>
    </w:p>
    <w:p w14:paraId="57589F94" w14:textId="37B54764" w:rsidR="002372E7" w:rsidRPr="00607863" w:rsidRDefault="002372E7" w:rsidP="002372E7">
      <w:pPr>
        <w:rPr>
          <w:b/>
          <w:bCs/>
        </w:rPr>
      </w:pPr>
      <w:r w:rsidRPr="00607863">
        <w:rPr>
          <w:b/>
          <w:bCs/>
        </w:rPr>
        <w:t>Měnící se cyklus vyžaduje nový přístup</w:t>
      </w:r>
    </w:p>
    <w:p w14:paraId="7DEEC79B" w14:textId="008A5BCD" w:rsidR="002372E7" w:rsidRPr="00607863" w:rsidRDefault="002372E7" w:rsidP="002372E7">
      <w:r>
        <w:t>S tím, j</w:t>
      </w:r>
      <w:r w:rsidRPr="00607863">
        <w:t>ak investoři vyhodnocují dopad</w:t>
      </w:r>
      <w:r>
        <w:t>y různých</w:t>
      </w:r>
      <w:r w:rsidRPr="00607863">
        <w:t xml:space="preserve"> </w:t>
      </w:r>
      <w:proofErr w:type="spellStart"/>
      <w:r w:rsidRPr="00607863">
        <w:t>makrofaktorů</w:t>
      </w:r>
      <w:proofErr w:type="spellEnd"/>
      <w:r w:rsidRPr="00607863">
        <w:t xml:space="preserve"> na výhled amerických akcií, bude </w:t>
      </w:r>
      <w:r>
        <w:t xml:space="preserve">klíčové </w:t>
      </w:r>
      <w:r w:rsidRPr="00607863">
        <w:t xml:space="preserve">porozumět valuacím — a tomu, co v současném prostředí vlastně představuje „férovou hodnotu“. Valuace zůstávají napjaté zejména na vrcholu trhu, </w:t>
      </w:r>
      <w:r>
        <w:t>nicméně</w:t>
      </w:r>
      <w:r w:rsidRPr="00607863">
        <w:t xml:space="preserve"> i jind</w:t>
      </w:r>
      <w:r>
        <w:t>y</w:t>
      </w:r>
      <w:r w:rsidRPr="00607863">
        <w:t>, a to kvůli AI hy</w:t>
      </w:r>
      <w:r>
        <w:t>sterii</w:t>
      </w:r>
      <w:r w:rsidRPr="00607863">
        <w:t xml:space="preserve">, </w:t>
      </w:r>
      <w:r>
        <w:t>ale i</w:t>
      </w:r>
      <w:r w:rsidRPr="00607863">
        <w:t xml:space="preserve"> díky pozitivním impulsům v energetice a obraně.</w:t>
      </w:r>
    </w:p>
    <w:p w14:paraId="4C6C7327" w14:textId="408087EB" w:rsidR="002372E7" w:rsidRPr="00607863" w:rsidRDefault="002372E7" w:rsidP="002372E7">
      <w:pPr>
        <w:rPr>
          <w:b/>
          <w:bCs/>
        </w:rPr>
      </w:pPr>
      <w:r>
        <w:rPr>
          <w:noProof/>
        </w:rPr>
        <w:lastRenderedPageBreak/>
        <w:drawing>
          <wp:anchor distT="0" distB="0" distL="114300" distR="114300" simplePos="0" relativeHeight="251659264" behindDoc="1" locked="0" layoutInCell="1" allowOverlap="1" wp14:anchorId="04DBE078" wp14:editId="0D8F688A">
            <wp:simplePos x="0" y="0"/>
            <wp:positionH relativeFrom="margin">
              <wp:posOffset>-1270</wp:posOffset>
            </wp:positionH>
            <wp:positionV relativeFrom="paragraph">
              <wp:posOffset>497205</wp:posOffset>
            </wp:positionV>
            <wp:extent cx="5759450" cy="3604895"/>
            <wp:effectExtent l="0" t="0" r="0" b="0"/>
            <wp:wrapTight wrapText="bothSides">
              <wp:wrapPolygon edited="0">
                <wp:start x="0" y="0"/>
                <wp:lineTo x="0" y="21459"/>
                <wp:lineTo x="21505" y="21459"/>
                <wp:lineTo x="21505" y="0"/>
                <wp:lineTo x="0" y="0"/>
              </wp:wrapPolygon>
            </wp:wrapTight>
            <wp:docPr id="6163734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73422" name="Obrázek 616373422"/>
                    <pic:cNvPicPr/>
                  </pic:nvPicPr>
                  <pic:blipFill>
                    <a:blip r:embed="rId12">
                      <a:extLst>
                        <a:ext uri="{28A0092B-C50C-407E-A947-70E740481C1C}">
                          <a14:useLocalDpi xmlns:a14="http://schemas.microsoft.com/office/drawing/2010/main" val="0"/>
                        </a:ext>
                      </a:extLst>
                    </a:blip>
                    <a:stretch>
                      <a:fillRect/>
                    </a:stretch>
                  </pic:blipFill>
                  <pic:spPr>
                    <a:xfrm>
                      <a:off x="0" y="0"/>
                      <a:ext cx="5759450" cy="3604895"/>
                    </a:xfrm>
                    <a:prstGeom prst="rect">
                      <a:avLst/>
                    </a:prstGeom>
                  </pic:spPr>
                </pic:pic>
              </a:graphicData>
            </a:graphic>
          </wp:anchor>
        </w:drawing>
      </w:r>
      <w:r w:rsidRPr="00607863">
        <w:rPr>
          <w:b/>
          <w:bCs/>
        </w:rPr>
        <w:t>„Férovou hodnotu“ je třeba přehodnotit</w:t>
      </w:r>
    </w:p>
    <w:p w14:paraId="5C99933F" w14:textId="3D377D66" w:rsidR="002372E7" w:rsidRDefault="002372E7" w:rsidP="002372E7">
      <w:r w:rsidRPr="00607863">
        <w:t xml:space="preserve">Zdroj: databáze prof. </w:t>
      </w:r>
      <w:proofErr w:type="spellStart"/>
      <w:r w:rsidRPr="00607863">
        <w:t>Shillera</w:t>
      </w:r>
      <w:proofErr w:type="spellEnd"/>
      <w:r w:rsidRPr="00607863">
        <w:t xml:space="preserve">, </w:t>
      </w:r>
      <w:proofErr w:type="spellStart"/>
      <w:r w:rsidRPr="00607863">
        <w:t>Bloomberg</w:t>
      </w:r>
      <w:proofErr w:type="spellEnd"/>
      <w:r w:rsidRPr="00607863">
        <w:t xml:space="preserve">, </w:t>
      </w:r>
      <w:proofErr w:type="spellStart"/>
      <w:r w:rsidRPr="00607863">
        <w:t>Refinitiv</w:t>
      </w:r>
      <w:proofErr w:type="spellEnd"/>
      <w:r w:rsidRPr="00607863">
        <w:t xml:space="preserve">, výpočty </w:t>
      </w:r>
      <w:proofErr w:type="spellStart"/>
      <w:r w:rsidRPr="00607863">
        <w:t>Fidelity</w:t>
      </w:r>
      <w:proofErr w:type="spellEnd"/>
      <w:r w:rsidRPr="00607863">
        <w:t xml:space="preserve"> International, k 31. 12. 2025.</w:t>
      </w:r>
    </w:p>
    <w:p w14:paraId="17FA8043" w14:textId="64DE70B7" w:rsidR="002372E7" w:rsidRPr="00607863" w:rsidRDefault="002372E7" w:rsidP="002372E7">
      <w:r w:rsidRPr="00607863">
        <w:t>V době, kdy koncentrace jednotlivých společností na americkém trhu dosáhla maxim několik dekád, se průměr</w:t>
      </w:r>
      <w:r>
        <w:t>ně</w:t>
      </w:r>
      <w:r w:rsidRPr="00607863">
        <w:t xml:space="preserve"> velk</w:t>
      </w:r>
      <w:r>
        <w:t>é</w:t>
      </w:r>
      <w:r w:rsidRPr="00607863">
        <w:t xml:space="preserve"> fir</w:t>
      </w:r>
      <w:r>
        <w:t>my</w:t>
      </w:r>
      <w:r w:rsidRPr="00607863">
        <w:t xml:space="preserve"> dostávají nad úrovně, které by bylo možné považovat za „férové“. Návrat k fundamentům může pomoci identifikovat firmy, jejichž valuace nejsou tak napjaté. Zaměření na společnosti se silnými rozvahami, odolnými cash </w:t>
      </w:r>
      <w:proofErr w:type="spellStart"/>
      <w:r w:rsidRPr="00607863">
        <w:t>flow</w:t>
      </w:r>
      <w:proofErr w:type="spellEnd"/>
      <w:r w:rsidRPr="00607863">
        <w:t xml:space="preserve"> a disciplinovanou alokací kapitálu může zlepšit výnos upravený o riziko v prostředí, kde je tržní leadership méně předvídatelný.</w:t>
      </w:r>
    </w:p>
    <w:p w14:paraId="0017416B" w14:textId="110EFCE5" w:rsidR="002372E7" w:rsidRPr="00607863" w:rsidRDefault="002372E7" w:rsidP="002372E7">
      <w:pPr>
        <w:rPr>
          <w:b/>
          <w:bCs/>
        </w:rPr>
      </w:pPr>
      <w:r w:rsidRPr="00607863">
        <w:rPr>
          <w:b/>
          <w:bCs/>
        </w:rPr>
        <w:t>Výnos jako stabilizační vrstva</w:t>
      </w:r>
      <w:r>
        <w:rPr>
          <w:b/>
          <w:bCs/>
        </w:rPr>
        <w:t xml:space="preserve"> </w:t>
      </w:r>
    </w:p>
    <w:p w14:paraId="17354665" w14:textId="2A4A084B" w:rsidR="002372E7" w:rsidRPr="00607863" w:rsidRDefault="002372E7" w:rsidP="002372E7">
      <w:r w:rsidRPr="00607863">
        <w:t>Společnosti, které dokážou poskytovat konzistentní a udržitelný příjem, byly tradičně vnímány jako zdroj výnosu a historicky tvořily významnou část celkových akciových výnosů. Nejenže přinášely růst skrze zvyšování valuací, ale zároveň poskytovaly stabilní tok okamžitých výnosů pro</w:t>
      </w:r>
      <w:r>
        <w:t xml:space="preserve"> </w:t>
      </w:r>
      <w:proofErr w:type="spellStart"/>
      <w:r w:rsidRPr="00607863">
        <w:t>střednictvím</w:t>
      </w:r>
      <w:proofErr w:type="spellEnd"/>
      <w:r w:rsidRPr="00607863">
        <w:t xml:space="preserve"> dividend.</w:t>
      </w:r>
    </w:p>
    <w:p w14:paraId="71DA3DB9" w14:textId="5A5324B6" w:rsidR="002372E7" w:rsidRDefault="002372E7" w:rsidP="002372E7">
      <w:r>
        <w:t>Na</w:t>
      </w:r>
      <w:r w:rsidRPr="00607863">
        <w:t xml:space="preserve"> méně předvídatelném trhu však mohou tito poskytovatelé výnosu přidat do portfolia další důležitou vrstv</w:t>
      </w:r>
      <w:r w:rsidRPr="00A12CFE">
        <w:t xml:space="preserve">u — stabilitu. </w:t>
      </w:r>
      <w:r w:rsidRPr="00607863">
        <w:t>Jakmile se cenové výnosy stávají volatilnějšími, spolehlivý dividendový tok může část této volatility kompenzovat, zmírnit poklesy v negativním tržním prostředí a zároveň podpořit růstový potenciál. To znamená, že propady mohou být mělčí, než by jinak byly</w:t>
      </w:r>
      <w:r>
        <w:t xml:space="preserve">, </w:t>
      </w:r>
      <w:r w:rsidRPr="00607863">
        <w:t>což je v období zvýšené makroekonomické nejistoty důležitý faktor.</w:t>
      </w:r>
    </w:p>
    <w:p w14:paraId="49C2917B" w14:textId="77777777" w:rsidR="00A04F66" w:rsidRDefault="00A04F66" w:rsidP="00A04F66">
      <w:pPr>
        <w:pStyle w:val="F2-zkladn"/>
      </w:pPr>
    </w:p>
    <w:p w14:paraId="64AA4A11" w14:textId="77777777" w:rsidR="00A04F66" w:rsidRDefault="00A04F66" w:rsidP="002372E7">
      <w:pPr>
        <w:rPr>
          <w:b/>
          <w:bCs/>
        </w:rPr>
      </w:pPr>
    </w:p>
    <w:p w14:paraId="5C7ED012" w14:textId="5EFB2AEA" w:rsidR="002372E7" w:rsidRPr="00607863" w:rsidRDefault="002372E7" w:rsidP="002372E7">
      <w:pPr>
        <w:rPr>
          <w:b/>
          <w:bCs/>
        </w:rPr>
      </w:pPr>
      <w:r w:rsidRPr="00607863">
        <w:rPr>
          <w:b/>
          <w:bCs/>
        </w:rPr>
        <w:lastRenderedPageBreak/>
        <w:t xml:space="preserve">Jak implementovat strategii </w:t>
      </w:r>
      <w:r>
        <w:rPr>
          <w:b/>
          <w:bCs/>
        </w:rPr>
        <w:t>„</w:t>
      </w:r>
      <w:proofErr w:type="spellStart"/>
      <w:r w:rsidRPr="00607863">
        <w:rPr>
          <w:b/>
          <w:bCs/>
        </w:rPr>
        <w:t>quality</w:t>
      </w:r>
      <w:proofErr w:type="spellEnd"/>
      <w:r w:rsidRPr="00607863">
        <w:rPr>
          <w:b/>
          <w:bCs/>
        </w:rPr>
        <w:t xml:space="preserve"> </w:t>
      </w:r>
      <w:proofErr w:type="spellStart"/>
      <w:r w:rsidRPr="00607863">
        <w:rPr>
          <w:b/>
          <w:bCs/>
        </w:rPr>
        <w:t>income</w:t>
      </w:r>
      <w:proofErr w:type="spellEnd"/>
      <w:r>
        <w:rPr>
          <w:b/>
          <w:bCs/>
        </w:rPr>
        <w:t xml:space="preserve">“ </w:t>
      </w:r>
    </w:p>
    <w:p w14:paraId="08011F87" w14:textId="45CAA3A6" w:rsidR="002372E7" w:rsidRPr="00607863" w:rsidRDefault="002372E7" w:rsidP="002372E7">
      <w:r w:rsidRPr="00607863">
        <w:t>Zatímco kapitalizačně vážená alokace nabízela v průběhu dosavadního cyklu dostatek příležitostí, tento přístup pravděpodobně neposkytne úroveň fundamentální analýzy ani zaměření na výnos, kterou současné makroprostředí vyžaduje.</w:t>
      </w:r>
    </w:p>
    <w:p w14:paraId="2E23417B" w14:textId="363C5D02" w:rsidR="002372E7" w:rsidRPr="00607863" w:rsidRDefault="002372E7" w:rsidP="002372E7">
      <w:r w:rsidRPr="00607863">
        <w:t xml:space="preserve">Začlenění filtrů kvality a výnosu nad rámec tržních či sektorových alokačních modelů může pomoci vyhnout se strukturálním zkreslením tradičních </w:t>
      </w:r>
      <w:proofErr w:type="spellStart"/>
      <w:r w:rsidRPr="00607863">
        <w:t>high-yield</w:t>
      </w:r>
      <w:proofErr w:type="spellEnd"/>
      <w:r w:rsidRPr="00607863">
        <w:t xml:space="preserve"> strategií a zároveň zachovat nízkou </w:t>
      </w:r>
      <w:r>
        <w:t>o</w:t>
      </w:r>
      <w:r w:rsidRPr="00F27DEC">
        <w:t>dchylk</w:t>
      </w:r>
      <w:r>
        <w:t>u</w:t>
      </w:r>
      <w:r w:rsidRPr="00F27DEC">
        <w:t xml:space="preserve"> rozdílu mezi výnosy investičního portfolia a jeho podkladového benchmarku (indexu) </w:t>
      </w:r>
      <w:r w:rsidRPr="00607863">
        <w:t>vůči hlavním indexům. Tento přístup představuje vyváženou alternativu k čistě dividendovým strategiím.</w:t>
      </w:r>
    </w:p>
    <w:p w14:paraId="1993D172" w14:textId="71B2B50F" w:rsidR="002372E7" w:rsidRPr="00607863" w:rsidRDefault="002372E7" w:rsidP="002372E7">
      <w:r w:rsidRPr="00607863">
        <w:t xml:space="preserve">V tomto kontextu nabízí řada </w:t>
      </w:r>
      <w:proofErr w:type="spellStart"/>
      <w:r w:rsidRPr="00F27DEC">
        <w:t>Quality</w:t>
      </w:r>
      <w:proofErr w:type="spellEnd"/>
      <w:r w:rsidRPr="00F27DEC">
        <w:t xml:space="preserve"> </w:t>
      </w:r>
      <w:proofErr w:type="spellStart"/>
      <w:r w:rsidRPr="00F27DEC">
        <w:t>Income</w:t>
      </w:r>
      <w:proofErr w:type="spellEnd"/>
      <w:r w:rsidRPr="00F27DEC">
        <w:t xml:space="preserve"> ETF</w:t>
      </w:r>
      <w:r w:rsidRPr="00607863">
        <w:t xml:space="preserve"> atraktivní řešení pro</w:t>
      </w:r>
      <w:r>
        <w:t xml:space="preserve"> takové</w:t>
      </w:r>
      <w:r w:rsidRPr="00607863">
        <w:t xml:space="preserve"> správce aktiv, kteří chtějí získat tržní expozici a zároveň tato rizika řídit. Jde o pasivní strategie, které sledují proprietární indexy </w:t>
      </w:r>
      <w:proofErr w:type="spellStart"/>
      <w:r w:rsidRPr="00607863">
        <w:t>Fidelity</w:t>
      </w:r>
      <w:proofErr w:type="spellEnd"/>
      <w:r w:rsidRPr="00607863">
        <w:t xml:space="preserve"> </w:t>
      </w:r>
      <w:r>
        <w:t xml:space="preserve">International </w:t>
      </w:r>
      <w:r w:rsidRPr="00607863">
        <w:t>využívající cílené filtry kvality a výnosu při výběru akcií.</w:t>
      </w:r>
    </w:p>
    <w:p w14:paraId="56D6BA03" w14:textId="7CD0CF8E" w:rsidR="002372E7" w:rsidRPr="00607863" w:rsidRDefault="002372E7" w:rsidP="002372E7">
      <w:r w:rsidRPr="00607863">
        <w:t>Pro investory zaměřené na USA se tento přístup snaží nabídnout expozici vůči vysoce kvalitním americkým společnostem generujícím příjem, z nichž mnohé se vzhledem k nedávnému růstu valuací některých růstových titulů staly relativně atraktivnějšími.</w:t>
      </w:r>
    </w:p>
    <w:p w14:paraId="06AAD664" w14:textId="3ADFBAE5" w:rsidR="002372E7" w:rsidRPr="00607863" w:rsidRDefault="002372E7" w:rsidP="002372E7">
      <w:r w:rsidRPr="00607863">
        <w:t>Firmy s kvalitním dividendovým profilem mají navíc tendenci podávat dobré výsledky v pozdní fázi cyklu, kdy se měnová politika začíná stávat podpůrnější tváří v tvář zhoršujícím se růstovým vyhlídkám. Vzhledem k tomu, že Fed postupně přesouvá svou pozornost více na rizika na trhu práce, může nyní jít o atraktivní vstupní bod.</w:t>
      </w:r>
    </w:p>
    <w:p w14:paraId="62EF70E0" w14:textId="4F601233" w:rsidR="002372E7" w:rsidRPr="00607863" w:rsidRDefault="002372E7" w:rsidP="002372E7">
      <w:r w:rsidRPr="00607863">
        <w:t xml:space="preserve">V době, kdy </w:t>
      </w:r>
      <w:proofErr w:type="spellStart"/>
      <w:r w:rsidRPr="00607863">
        <w:t>geoekonomická</w:t>
      </w:r>
      <w:proofErr w:type="spellEnd"/>
      <w:r w:rsidRPr="00607863">
        <w:t xml:space="preserve"> fragmentace a ekonomická nejistota mohou narušit dlouhodobě zavedené výkonnostní trendy na trhu, musí investoři zkoumat všechny možnosti, jak na trhy vstupovat. </w:t>
      </w:r>
      <w:proofErr w:type="spellStart"/>
      <w:r w:rsidRPr="00F27DEC">
        <w:t>Quality</w:t>
      </w:r>
      <w:proofErr w:type="spellEnd"/>
      <w:r w:rsidRPr="00F27DEC">
        <w:t xml:space="preserve"> </w:t>
      </w:r>
      <w:proofErr w:type="spellStart"/>
      <w:r w:rsidRPr="00F27DEC">
        <w:t>Income</w:t>
      </w:r>
      <w:proofErr w:type="spellEnd"/>
      <w:r w:rsidRPr="00F27DEC">
        <w:t xml:space="preserve"> ETF od </w:t>
      </w:r>
      <w:proofErr w:type="spellStart"/>
      <w:r w:rsidRPr="00F27DEC">
        <w:t>Fidelity</w:t>
      </w:r>
      <w:proofErr w:type="spellEnd"/>
      <w:r w:rsidRPr="00F27DEC">
        <w:t xml:space="preserve"> jsou</w:t>
      </w:r>
      <w:r w:rsidRPr="00607863">
        <w:t xml:space="preserve"> navrženy jako nákladově efektivní stavební kámen portfolia, který mohou investoři využít pro efektivní realizaci taktické i dlouhodobé alokace aktiv a který představuje přesvědčivou alternativu </w:t>
      </w:r>
      <w:r>
        <w:t>při změně v</w:t>
      </w:r>
      <w:r w:rsidRPr="00607863">
        <w:t xml:space="preserve"> cyklu.</w:t>
      </w:r>
    </w:p>
    <w:p w14:paraId="16CA2435" w14:textId="77777777" w:rsidR="002372E7" w:rsidRDefault="002372E7" w:rsidP="002372E7"/>
    <w:p w14:paraId="12382C2E" w14:textId="34BA499D" w:rsidR="00C9576C" w:rsidRPr="00A04F66" w:rsidRDefault="00C9576C" w:rsidP="00A04F66">
      <w:pPr>
        <w:spacing w:before="0" w:line="240" w:lineRule="auto"/>
        <w:jc w:val="left"/>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D404D5">
        <w:rPr>
          <w:color w:val="000000"/>
          <w:lang w:eastAsia="en-US"/>
        </w:rPr>
        <w:lastRenderedPageBreak/>
        <w:t>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lastRenderedPageBreak/>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30B4511F" w:rsidR="00D20058" w:rsidRDefault="002372E7" w:rsidP="002372E7">
      <w:r w:rsidRPr="002372E7">
        <w:rPr>
          <w:lang w:val="de-AT"/>
        </w:rPr>
        <w:t>MKAT13736</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2064" w14:textId="77777777" w:rsidR="002B502A" w:rsidRDefault="002B502A">
      <w:r>
        <w:separator/>
      </w:r>
    </w:p>
  </w:endnote>
  <w:endnote w:type="continuationSeparator" w:id="0">
    <w:p w14:paraId="1D13721C" w14:textId="77777777" w:rsidR="002B502A" w:rsidRDefault="002B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EADB" w14:textId="77777777" w:rsidR="002B502A" w:rsidRDefault="002B502A">
      <w:r>
        <w:separator/>
      </w:r>
    </w:p>
  </w:footnote>
  <w:footnote w:type="continuationSeparator" w:id="0">
    <w:p w14:paraId="7E6B9EA9" w14:textId="77777777" w:rsidR="002B502A" w:rsidRDefault="002B502A">
      <w:r>
        <w:continuationSeparator/>
      </w:r>
    </w:p>
  </w:footnote>
  <w:footnote w:type="continuationNotice" w:id="1">
    <w:p w14:paraId="3E874B59" w14:textId="77777777" w:rsidR="002B502A" w:rsidRDefault="002B5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48F0F19"/>
    <w:multiLevelType w:val="multilevel"/>
    <w:tmpl w:val="ECA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7"/>
  </w:num>
  <w:num w:numId="4" w16cid:durableId="249312893">
    <w:abstractNumId w:val="24"/>
  </w:num>
  <w:num w:numId="5" w16cid:durableId="315694586">
    <w:abstractNumId w:val="26"/>
  </w:num>
  <w:num w:numId="6" w16cid:durableId="108403674">
    <w:abstractNumId w:val="22"/>
  </w:num>
  <w:num w:numId="7" w16cid:durableId="604575006">
    <w:abstractNumId w:val="45"/>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4"/>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8"/>
  </w:num>
  <w:num w:numId="33" w16cid:durableId="280261214">
    <w:abstractNumId w:val="33"/>
  </w:num>
  <w:num w:numId="34" w16cid:durableId="1755005586">
    <w:abstractNumId w:val="46"/>
  </w:num>
  <w:num w:numId="35" w16cid:durableId="975062918">
    <w:abstractNumId w:val="50"/>
  </w:num>
  <w:num w:numId="36" w16cid:durableId="65340861">
    <w:abstractNumId w:val="15"/>
  </w:num>
  <w:num w:numId="37" w16cid:durableId="369651298">
    <w:abstractNumId w:val="43"/>
  </w:num>
  <w:num w:numId="38" w16cid:durableId="561336543">
    <w:abstractNumId w:val="17"/>
  </w:num>
  <w:num w:numId="39" w16cid:durableId="993333316">
    <w:abstractNumId w:val="31"/>
  </w:num>
  <w:num w:numId="40" w16cid:durableId="945430004">
    <w:abstractNumId w:val="40"/>
  </w:num>
  <w:num w:numId="41" w16cid:durableId="1123378030">
    <w:abstractNumId w:val="49"/>
  </w:num>
  <w:num w:numId="42" w16cid:durableId="2118477175">
    <w:abstractNumId w:val="28"/>
  </w:num>
  <w:num w:numId="43" w16cid:durableId="1760370648">
    <w:abstractNumId w:val="41"/>
  </w:num>
  <w:num w:numId="44" w16cid:durableId="624894503">
    <w:abstractNumId w:val="19"/>
  </w:num>
  <w:num w:numId="45" w16cid:durableId="868492869">
    <w:abstractNumId w:val="51"/>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2"/>
  </w:num>
  <w:num w:numId="52" w16cid:durableId="406348410">
    <w:abstractNumId w:val="32"/>
  </w:num>
  <w:num w:numId="53" w16cid:durableId="865751241">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374E"/>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2E7"/>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02A"/>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558"/>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089A"/>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8692F"/>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196A"/>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16F60"/>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CC3"/>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4F66"/>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1D73"/>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00"/>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1C38"/>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45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5FAD"/>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56C"/>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6738"/>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4D6"/>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97962"/>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1679</Words>
  <Characters>9911</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11567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ELISKA KROHOVA</cp:lastModifiedBy>
  <cp:revision>3</cp:revision>
  <cp:lastPrinted>2015-11-30T16:29:00Z</cp:lastPrinted>
  <dcterms:created xsi:type="dcterms:W3CDTF">2026-04-16T18:20:00Z</dcterms:created>
  <dcterms:modified xsi:type="dcterms:W3CDTF">2026-04-16T18:21:00Z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